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CCD3" w14:textId="21C7B827" w:rsidR="00DF1B47" w:rsidRDefault="001B062F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武汉市洪山高级中学</w:t>
      </w:r>
      <w:r w:rsidR="002151B3">
        <w:rPr>
          <w:rFonts w:ascii="黑体" w:eastAsia="黑体" w:hAnsi="黑体" w:cs="黑体" w:hint="eastAsia"/>
          <w:sz w:val="28"/>
          <w:szCs w:val="28"/>
        </w:rPr>
        <w:t>关于校服供应商资格审查后择优筛选工作的补充说明</w:t>
      </w:r>
    </w:p>
    <w:p w14:paraId="4C9C2D96" w14:textId="77777777" w:rsidR="00DF1B47" w:rsidRDefault="002151B3">
      <w:pPr>
        <w:ind w:firstLineChars="300" w:firstLine="8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（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本说明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作为采购公告附件，与公告具有同等效力）</w:t>
      </w:r>
    </w:p>
    <w:p w14:paraId="1CACFFEA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各潜在供应商：</w:t>
      </w:r>
    </w:p>
    <w:p w14:paraId="6EB6ABB7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为规范校服供应商遴选工作，确保采购过程公开、公平、公正，根据《洪山区中小学生校服选用采购工作指引（试行）》及相关文件要求，现就供应商资格审查后的择优筛选工作补充说明如下：</w:t>
      </w:r>
    </w:p>
    <w:p w14:paraId="484350B0" w14:textId="77777777" w:rsidR="00DF1B47" w:rsidRDefault="002151B3">
      <w:pPr>
        <w:ind w:firstLineChars="200" w:firstLine="562"/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一、适用情形</w:t>
      </w:r>
    </w:p>
    <w:p w14:paraId="69556D01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当通过资格审查的供应商数量 超过5家 时，为保障现场评审环节的组织效率与评审质量，将启动“择优筛选”程序。</w:t>
      </w:r>
    </w:p>
    <w:p w14:paraId="5FB7F30E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启动择优筛选的具体家数（超过5家）由校服选用组织集体讨论确定，进入现场评审的最终家数固定为前3名（如第3名出现并列，则并列供应商一并进入），并在采购公告中一并公布。</w:t>
      </w:r>
    </w:p>
    <w:p w14:paraId="2B024D3F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若通过资格审查的供应商数量不超过5家（含5家），则全部进入现场评审环节。</w:t>
      </w:r>
    </w:p>
    <w:p w14:paraId="2D26B3CD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二、供应商需补充提交的材料</w:t>
      </w:r>
    </w:p>
    <w:p w14:paraId="76AB86A7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在择优筛选环节，供应商需按要求补充提交以下材料，作为综合评分的依据。已在资格审查阶段提交的营业执照、信用记录、承诺书等基础材料无需重复提交。</w:t>
      </w:r>
    </w:p>
    <w:tbl>
      <w:tblPr>
        <w:tblW w:w="8411" w:type="dxa"/>
        <w:tblInd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4893"/>
        <w:gridCol w:w="1437"/>
      </w:tblGrid>
      <w:tr w:rsidR="00DF1B47" w14:paraId="656849EC" w14:textId="77777777">
        <w:trPr>
          <w:trHeight w:val="90"/>
          <w:tblHeader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73997CE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lastRenderedPageBreak/>
              <w:t>评分维度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893312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需补充提交的材料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EB96E2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提交要求</w:t>
            </w:r>
          </w:p>
        </w:tc>
      </w:tr>
      <w:tr w:rsidR="00DF1B47" w14:paraId="30C38F87" w14:textId="77777777">
        <w:trPr>
          <w:trHeight w:val="809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A29532A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质量保障承诺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569E86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产品质量保障方案（含面料来源、生产工艺、质量控制流程、检测安排等）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FBDD81A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加盖公章，A4纸打印</w:t>
            </w:r>
          </w:p>
        </w:tc>
      </w:tr>
      <w:tr w:rsidR="00DF1B47" w14:paraId="3BD9CFC1" w14:textId="77777777">
        <w:trPr>
          <w:trHeight w:val="818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15AA64A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售后服务承诺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355E45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售后服务方案（含调换、修补、增购的具体承诺、响应时效、服务流程、人员配置等）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C2DBBA7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加盖公章，A4纸打印</w:t>
            </w:r>
          </w:p>
        </w:tc>
      </w:tr>
    </w:tbl>
    <w:p w14:paraId="0E018B55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提交时间：资格审查结果公布后 5个工作日内（具体时间以学校通知为准）。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 xml:space="preserve">    提交方式：纸质版一式两份，密封后送达学校指定地点；电子版发送至指定邮箱（如有）。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 xml:space="preserve">   格式要求：A4纸打印，左侧装订，加盖骑缝章；封面注明“择优筛选补充材料”及供应商名称。</w:t>
      </w:r>
    </w:p>
    <w:p w14:paraId="7A202FF8" w14:textId="77777777" w:rsidR="00DF1B47" w:rsidRDefault="002151B3">
      <w:pPr>
        <w:ind w:firstLineChars="200" w:firstLine="562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三、筛选规则</w:t>
      </w:r>
    </w:p>
    <w:p w14:paraId="0E9D39D9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1.筛选依据：本补充说明所附《供应商综合评分表》设定的评分标准。</w:t>
      </w:r>
    </w:p>
    <w:p w14:paraId="2EF951F5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2.筛选数量：按综合得分从高到低排序，取 前3名 进入现场评审环节。如第3名出现并列，则并列供应商一并进入。</w:t>
      </w:r>
    </w:p>
    <w:p w14:paraId="307613BC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3.筛选结果公示：筛选结果将在学校公告栏或指定平台公示 不少于3个工作日，接受监督。供应商对筛选结果有异议的，可在公示期内书面提出，学校将及时调查答复。</w:t>
      </w:r>
    </w:p>
    <w:p w14:paraId="2BAD96AA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四、评分内容与标准</w:t>
      </w:r>
    </w:p>
    <w:tbl>
      <w:tblPr>
        <w:tblW w:w="8896" w:type="dxa"/>
        <w:tblInd w:w="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890"/>
        <w:gridCol w:w="4674"/>
        <w:gridCol w:w="1200"/>
      </w:tblGrid>
      <w:tr w:rsidR="00DF1B47" w14:paraId="1E000888" w14:textId="77777777">
        <w:trPr>
          <w:tblHeader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BD4A01F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lastRenderedPageBreak/>
              <w:t>评分维度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483257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分值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849FD9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评分标准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370CE5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资料来源</w:t>
            </w:r>
          </w:p>
        </w:tc>
      </w:tr>
      <w:tr w:rsidR="00DF1B47" w14:paraId="451B2D2F" w14:textId="77777777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B90C458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质量保障承诺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875446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50分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6ABD4C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方案完整性（24分）：包含面料来源说明（6分）、生产工艺说明（6分）、质量控制流程（6分）、检测安排（6分）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br/>
              <w:t>承诺具体性（25分）：承诺所供产品符合GB/T 31888标准（12分），承诺提供本批次检测报告（14分）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0C61EF8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补充提交</w:t>
            </w:r>
          </w:p>
        </w:tc>
      </w:tr>
      <w:tr w:rsidR="00DF1B47" w14:paraId="30A74578" w14:textId="77777777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FFE6D3D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售后服务承诺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C891AE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50分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6D5E70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方案完整性（15分）：包含调换、修补、增购内容（5分），包含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具体响应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流程（5分），包含人员配置（5分）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br/>
              <w:t>响应时效（10分）：承诺5个工作日内到校服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务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得10分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br/>
              <w:t>增购保障（10分）：承诺增购不高于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合同价得10分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br/>
              <w:t>质量保障承诺（15分）：承诺对因产品质量问题（脱线、拉链损坏、掉色等）提供至少1年免费维修服务得15分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8983410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补充提交</w:t>
            </w:r>
          </w:p>
        </w:tc>
      </w:tr>
      <w:tr w:rsidR="00DF1B47" w14:paraId="56A5CC51" w14:textId="77777777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49CF428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合计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13CCC4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100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68960A" w14:textId="77777777" w:rsidR="00DF1B47" w:rsidRDefault="00DF1B4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2BB86C8" w14:textId="77777777" w:rsidR="00DF1B47" w:rsidRDefault="00DF1B47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</w:p>
        </w:tc>
      </w:tr>
    </w:tbl>
    <w:p w14:paraId="42748AAA" w14:textId="77777777" w:rsidR="00DF1B47" w:rsidRDefault="002151B3">
      <w:pPr>
        <w:ind w:firstLineChars="200" w:firstLine="562"/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五、择优评选小组的组成</w:t>
      </w:r>
    </w:p>
    <w:p w14:paraId="05410D5F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人员构成：择优评选小组成员从校服选用组织中的学校管理人员、教师代表、家长代表中产生，人数为 3—5人（奇数）或由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原资格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审验小组可整体转为择优评选小组；若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原小组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家长代表比例不足50%，应补充家长代表。</w:t>
      </w:r>
    </w:p>
    <w:p w14:paraId="50E7DFE0" w14:textId="77777777" w:rsidR="00DF1B47" w:rsidRDefault="002151B3">
      <w:pPr>
        <w:ind w:firstLineChars="200" w:firstLine="562"/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六、与现场评审环节的分工</w:t>
      </w:r>
    </w:p>
    <w:tbl>
      <w:tblPr>
        <w:tblW w:w="8659" w:type="dxa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280"/>
        <w:gridCol w:w="2751"/>
        <w:gridCol w:w="1636"/>
      </w:tblGrid>
      <w:tr w:rsidR="00DF1B47" w14:paraId="5F10CC45" w14:textId="77777777">
        <w:trPr>
          <w:tblHeader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4166E5F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lastRenderedPageBreak/>
              <w:t>环节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01F9C7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核心任务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909BC0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评议内容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D22CC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决策方式</w:t>
            </w:r>
          </w:p>
        </w:tc>
      </w:tr>
      <w:tr w:rsidR="00DF1B47" w14:paraId="430A72E7" w14:textId="77777777"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BCE06DC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择优筛选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5382EE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筛选进入现场评审的供应商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B5B8A4" w14:textId="77777777" w:rsidR="00DF1B47" w:rsidRDefault="002151B3">
            <w:pPr>
              <w:keepNext/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质量保障承诺、售后服务承诺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D529A47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综合评分</w:t>
            </w:r>
          </w:p>
        </w:tc>
      </w:tr>
      <w:tr w:rsidR="00DF1B47" w14:paraId="5A127F17" w14:textId="77777777">
        <w:trPr>
          <w:trHeight w:val="893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44F642F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现场评审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6AC560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确定最终供应商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70E9F9" w14:textId="77777777" w:rsidR="00DF1B47" w:rsidRDefault="002151B3">
            <w:pPr>
              <w:keepNext/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样品实物、现场陈述、最终价格等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C56E442" w14:textId="77777777" w:rsidR="00DF1B47" w:rsidRDefault="002151B3">
            <w:pPr>
              <w:keepNext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家长代表（≥80%）记名投票</w:t>
            </w:r>
          </w:p>
        </w:tc>
      </w:tr>
    </w:tbl>
    <w:p w14:paraId="3FA42094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特别说明：本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筛选仅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用于确定进入现场评审环节的供应商名单，不替代现场评审环节的民主投票。最终供应商由评定小组（家长代表占比不低于80%）通过记名投票方式确定。</w:t>
      </w:r>
    </w:p>
    <w:p w14:paraId="74B0FAD5" w14:textId="77777777" w:rsidR="00DF1B47" w:rsidRDefault="002151B3">
      <w:pPr>
        <w:ind w:firstLineChars="200" w:firstLine="562"/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七、注意事项</w:t>
      </w:r>
    </w:p>
    <w:p w14:paraId="2C604F5F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1.本评分仅在通过资格审查的供应商 超过5家 时启动，未超过时全部进入现场评审。</w:t>
      </w:r>
    </w:p>
    <w:p w14:paraId="1B983E50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2.评分由择优评选小组独立进行，每位成员独立打分，取平均分作为最终得分（保留小数点后两位）。</w:t>
      </w:r>
    </w:p>
    <w:p w14:paraId="26A44A9D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3.评分过程全过程记录，评分表、计分结果等资料归档保存不少于3年。</w:t>
      </w:r>
    </w:p>
    <w:p w14:paraId="3991B04D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4.供应商对评分结果有异议的，可在结果公示期内书面提出，学校将及时调查答复。</w:t>
      </w:r>
    </w:p>
    <w:p w14:paraId="58A58923" w14:textId="69671904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5.为保证竞争充分性，</w:t>
      </w:r>
      <w:r w:rsidR="001B062F"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因本校</w:t>
      </w:r>
      <w:r w:rsidR="004F7079" w:rsidRPr="00521696">
        <w:rPr>
          <w:rFonts w:ascii="宋体" w:eastAsia="宋体" w:hAnsi="宋体" w:cs="宋体" w:hint="eastAsia"/>
          <w:sz w:val="28"/>
          <w:szCs w:val="28"/>
        </w:rPr>
        <w:t>此次</w:t>
      </w:r>
      <w:r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通过资格审查的供应商超过8家，</w:t>
      </w:r>
      <w:r w:rsidR="004F7079" w:rsidRPr="00521696">
        <w:rPr>
          <w:rFonts w:ascii="宋体" w:eastAsia="宋体" w:hAnsi="宋体" w:cs="宋体" w:hint="eastAsia"/>
          <w:sz w:val="28"/>
          <w:szCs w:val="28"/>
        </w:rPr>
        <w:t>故</w:t>
      </w:r>
      <w:r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将</w:t>
      </w:r>
      <w:r w:rsidR="004F7079"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择优</w:t>
      </w:r>
      <w:r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进入</w:t>
      </w:r>
      <w:r w:rsidR="004F7079"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现场评审</w:t>
      </w:r>
      <w:r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家</w:t>
      </w:r>
      <w:proofErr w:type="gramStart"/>
      <w:r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数调整</w:t>
      </w:r>
      <w:proofErr w:type="gramEnd"/>
      <w:r w:rsidRPr="00521696">
        <w:rPr>
          <w:rFonts w:ascii="方正仿宋_GB2312" w:eastAsia="方正仿宋_GB2312" w:hAnsi="方正仿宋_GB2312" w:cs="方正仿宋_GB2312" w:hint="eastAsia"/>
          <w:sz w:val="28"/>
          <w:szCs w:val="28"/>
        </w:rPr>
        <w:t>为5家。</w:t>
      </w:r>
    </w:p>
    <w:p w14:paraId="26C9E65C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6.最终价格将在现场评审环节由供应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商现场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报价，并由评定小组综合考虑。</w:t>
      </w:r>
    </w:p>
    <w:p w14:paraId="0F25744B" w14:textId="1FAB07CA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DC55DE0" w14:textId="77777777" w:rsidR="00DF1B47" w:rsidRDefault="002151B3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lastRenderedPageBreak/>
        <w:t>附件1：供应</w:t>
      </w:r>
      <w:proofErr w:type="gramStart"/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商综合</w:t>
      </w:r>
      <w:proofErr w:type="gramEnd"/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评分表</w:t>
      </w:r>
    </w:p>
    <w:p w14:paraId="1EC85AFC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项目名称： ________________________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>供应商名称： ________________________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>审查日期： ______年______月______日</w:t>
      </w:r>
    </w:p>
    <w:tbl>
      <w:tblPr>
        <w:tblW w:w="9275" w:type="dxa"/>
        <w:tblInd w:w="-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437"/>
        <w:gridCol w:w="762"/>
        <w:gridCol w:w="4892"/>
        <w:gridCol w:w="762"/>
      </w:tblGrid>
      <w:tr w:rsidR="00DF1B47" w14:paraId="10FE860A" w14:textId="77777777">
        <w:trPr>
          <w:tblHeader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F905FC5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序号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73F19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评分维度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917939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分值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ABE786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评分标准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A9A28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得分</w:t>
            </w:r>
          </w:p>
        </w:tc>
      </w:tr>
      <w:tr w:rsidR="00DF1B47" w14:paraId="6BC72274" w14:textId="77777777">
        <w:trPr>
          <w:trHeight w:val="27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CCCF053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15C30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质量保障承诺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A60867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50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71012E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1.方案完整性（24分）：</w:t>
            </w:r>
          </w:p>
          <w:p w14:paraId="4ABABAFD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包含面料来源说明（6分）</w:t>
            </w:r>
          </w:p>
          <w:p w14:paraId="0E3C8513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生产工艺说明（6分）</w:t>
            </w:r>
          </w:p>
          <w:p w14:paraId="3259A044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质量控制流程（6分）</w:t>
            </w:r>
          </w:p>
          <w:p w14:paraId="37E1F08A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检测安排（6分）</w:t>
            </w:r>
          </w:p>
          <w:p w14:paraId="4E72D15F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每项根据供应商描述完整度评分：完整得6分，基本完整得3分，缺失得0分。四项合计24分。</w:t>
            </w:r>
          </w:p>
          <w:p w14:paraId="674F9A09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2.承诺具体性（26分）：</w:t>
            </w:r>
          </w:p>
          <w:p w14:paraId="5F3362FE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承诺所供产品符合GB/T 31888标准（12分）</w:t>
            </w:r>
          </w:p>
          <w:p w14:paraId="4DC89CA1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承诺提供本批次检测报告（14分）</w:t>
            </w:r>
          </w:p>
          <w:p w14:paraId="73BD65BC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以上两项为必须项，任何一项缺失，本项得0分。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CB543A4" w14:textId="77777777" w:rsidR="00DF1B47" w:rsidRDefault="00DF1B47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</w:p>
        </w:tc>
      </w:tr>
      <w:tr w:rsidR="00DF1B47" w14:paraId="049C040C" w14:textId="77777777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2C6E840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9D95F7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售后服务承诺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A2CB1B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50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B9D9D" w14:textId="77777777" w:rsidR="00DF1B47" w:rsidRDefault="002151B3">
            <w:pPr>
              <w:numPr>
                <w:ilvl w:val="0"/>
                <w:numId w:val="1"/>
              </w:num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方案完整性（15分）：</w:t>
            </w:r>
          </w:p>
          <w:p w14:paraId="254467C4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调换、修补、增购内容（5分）</w:t>
            </w:r>
          </w:p>
          <w:p w14:paraId="6D524161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具体响应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流程（5分），</w:t>
            </w:r>
          </w:p>
          <w:p w14:paraId="6E625102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人员配置（5分）；</w:t>
            </w:r>
          </w:p>
          <w:p w14:paraId="05A1DFBC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每项根据供应商描述完整度评分：完整得5分，基本完整得3分，缺失得0分。三项合计15分。</w:t>
            </w:r>
          </w:p>
          <w:p w14:paraId="55880B3C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2.响应时效（10分）：</w:t>
            </w:r>
          </w:p>
          <w:p w14:paraId="26DE04FC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承诺5个工作日内到校服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务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得10分。（必须项，缺失得0分）</w:t>
            </w:r>
          </w:p>
          <w:p w14:paraId="7423B7BD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br/>
              <w:t>3.增购保障（10分）：</w:t>
            </w:r>
          </w:p>
          <w:p w14:paraId="114217DA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承诺增购不高于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合同价得10分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。（必须项，缺失得0分）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br/>
              <w:t>质量保障承诺（15分）：</w:t>
            </w:r>
          </w:p>
          <w:p w14:paraId="62A189D4" w14:textId="77777777" w:rsidR="00DF1B47" w:rsidRDefault="002151B3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承诺对因产品质量问题（脱线、拉链损坏、掉色等）提供至少1年免费维修服务得15分。（必须项，缺失得0分）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br/>
            </w:r>
          </w:p>
          <w:p w14:paraId="0B224B11" w14:textId="77777777" w:rsidR="00DF1B47" w:rsidRDefault="00DF1B47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E65610D" w14:textId="77777777" w:rsidR="00DF1B47" w:rsidRDefault="00DF1B47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4"/>
              </w:rPr>
            </w:pPr>
          </w:p>
        </w:tc>
      </w:tr>
      <w:tr w:rsidR="00DF1B47" w14:paraId="6026F212" w14:textId="77777777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735A5A9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合计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58EAB4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DDA454" w14:textId="77777777" w:rsidR="00DF1B47" w:rsidRDefault="00DF1B4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04BE20" w14:textId="77777777" w:rsidR="00DF1B47" w:rsidRDefault="00DF1B47">
            <w:pPr>
              <w:snapToGrid w:val="0"/>
              <w:jc w:val="right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8496E54" w14:textId="77777777" w:rsidR="00DF1B47" w:rsidRDefault="00DF1B47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b/>
                <w:sz w:val="24"/>
              </w:rPr>
            </w:pPr>
          </w:p>
        </w:tc>
      </w:tr>
    </w:tbl>
    <w:p w14:paraId="06BB79B5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945B7A5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择优评选小组成员签字：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                                     </w:t>
      </w:r>
    </w:p>
    <w:p w14:paraId="57AE212D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2BD0F06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择优评选小组组长签字： ____________________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>日期： ______年______月______日</w:t>
      </w:r>
    </w:p>
    <w:p w14:paraId="6BE74FB4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5F83FB4C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516DEF7D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6B1FD17E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55A55BA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3C1578F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605CFD34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A279C15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DC148A6" w14:textId="7F568B6C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362FB388" w14:textId="5F0747A3" w:rsidR="002151B3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35543340" w14:textId="77777777" w:rsidR="002151B3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30495C26" w14:textId="77777777" w:rsidR="00DF1B47" w:rsidRDefault="002151B3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lastRenderedPageBreak/>
        <w:t>附件2：质量保障承诺（参考模板）</w:t>
      </w:r>
    </w:p>
    <w:p w14:paraId="6DA9DB90" w14:textId="3FA1C7BF" w:rsidR="00DF1B47" w:rsidRPr="002151B3" w:rsidRDefault="002151B3" w:rsidP="002151B3">
      <w:pPr>
        <w:ind w:firstLineChars="400" w:firstLine="1120"/>
        <w:rPr>
          <w:rFonts w:asciiTheme="majorEastAsia" w:eastAsiaTheme="majorEastAsia" w:hAnsiTheme="majorEastAsia" w:cs="方正仿宋_GB2312" w:hint="eastAsia"/>
          <w:sz w:val="28"/>
          <w:szCs w:val="28"/>
        </w:rPr>
      </w:pPr>
      <w:r w:rsidRPr="002151B3">
        <w:rPr>
          <w:rFonts w:asciiTheme="majorEastAsia" w:eastAsiaTheme="majorEastAsia" w:hAnsiTheme="majorEastAsia" w:cs="宋体" w:hint="eastAsia"/>
          <w:sz w:val="28"/>
          <w:szCs w:val="28"/>
        </w:rPr>
        <w:t>武汉市洪山高级中学</w:t>
      </w:r>
      <w:r w:rsidRPr="002151B3">
        <w:rPr>
          <w:rFonts w:asciiTheme="majorEastAsia" w:eastAsiaTheme="majorEastAsia" w:hAnsiTheme="majorEastAsia" w:cs="方正仿宋_GB2312" w:hint="eastAsia"/>
          <w:sz w:val="28"/>
          <w:szCs w:val="28"/>
        </w:rPr>
        <w:t>校服采购质量保障承诺</w:t>
      </w:r>
    </w:p>
    <w:p w14:paraId="4293C98A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供应商名称： ____________________</w:t>
      </w:r>
    </w:p>
    <w:tbl>
      <w:tblPr>
        <w:tblW w:w="85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6293"/>
      </w:tblGrid>
      <w:tr w:rsidR="00DF1B47" w14:paraId="2BB14455" w14:textId="77777777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569170C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承诺项目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BE149D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具体内容</w:t>
            </w:r>
          </w:p>
        </w:tc>
      </w:tr>
      <w:tr w:rsidR="00DF1B47" w14:paraId="38FF7AC9" w14:textId="77777777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6B24455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面料来源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FEE8543" w14:textId="77777777" w:rsidR="00DF1B47" w:rsidRDefault="00DF1B47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DF1B47" w14:paraId="008D603B" w14:textId="77777777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A2025F8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生产工艺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853753F" w14:textId="77777777" w:rsidR="00DF1B47" w:rsidRDefault="00DF1B47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DF1B47" w14:paraId="5DD2A087" w14:textId="77777777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C4CF01A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质量控制流程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93726CA" w14:textId="77777777" w:rsidR="00DF1B47" w:rsidRDefault="00DF1B47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DF1B47" w14:paraId="3BFA3766" w14:textId="77777777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1EAEF64" w14:textId="77777777" w:rsidR="00DF1B47" w:rsidRDefault="002151B3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检测安排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F4BCF9B" w14:textId="77777777" w:rsidR="00DF1B47" w:rsidRDefault="00DF1B47">
            <w:pPr>
              <w:snapToGrid w:val="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</w:tbl>
    <w:p w14:paraId="74C1E70E" w14:textId="77777777" w:rsidR="00DF1B47" w:rsidRDefault="00DF1B47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5EF731B8" w14:textId="77777777" w:rsidR="00DF1B47" w:rsidRDefault="00DF1B47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E713A78" w14:textId="77777777" w:rsidR="00DF1B47" w:rsidRDefault="00DF1B47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078BB71" w14:textId="77777777" w:rsidR="00DF1B47" w:rsidRDefault="00DF1B47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0CDFF64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本人郑重承诺：所供产品符合GB/T 31888《中小学生校服》标准，并在校服到校未发放前提供本批次成衣质量检验合格报告。</w:t>
      </w:r>
    </w:p>
    <w:p w14:paraId="375C417C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承诺方（公章）： ____________________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>法定代表人（签字）： ____________________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>日期： ______年______月______日</w:t>
      </w:r>
    </w:p>
    <w:p w14:paraId="303BB157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593CF933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82CD947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6934DCCE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6BFCAB11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7F1BB37A" w14:textId="77777777" w:rsidR="00DF1B47" w:rsidRDefault="002151B3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>附件3：售后服务承诺（参考模板）</w:t>
      </w:r>
    </w:p>
    <w:p w14:paraId="0BEC1F3B" w14:textId="2A22AD27" w:rsidR="00DF1B47" w:rsidRPr="002151B3" w:rsidRDefault="002151B3" w:rsidP="002151B3">
      <w:pPr>
        <w:ind w:firstLineChars="400" w:firstLine="1120"/>
        <w:rPr>
          <w:rFonts w:asciiTheme="majorEastAsia" w:eastAsiaTheme="majorEastAsia" w:hAnsiTheme="majorEastAsia" w:cs="方正仿宋_GB2312" w:hint="eastAsia"/>
          <w:sz w:val="28"/>
          <w:szCs w:val="28"/>
        </w:rPr>
      </w:pPr>
      <w:r w:rsidRPr="002151B3">
        <w:rPr>
          <w:rFonts w:asciiTheme="majorEastAsia" w:eastAsiaTheme="majorEastAsia" w:hAnsiTheme="majorEastAsia" w:cs="宋体" w:hint="eastAsia"/>
          <w:sz w:val="28"/>
          <w:szCs w:val="28"/>
        </w:rPr>
        <w:t>武汉市洪山高级中学</w:t>
      </w:r>
      <w:r w:rsidRPr="002151B3">
        <w:rPr>
          <w:rFonts w:asciiTheme="majorEastAsia" w:eastAsiaTheme="majorEastAsia" w:hAnsiTheme="majorEastAsia" w:cs="方正仿宋_GB2312" w:hint="eastAsia"/>
          <w:sz w:val="28"/>
          <w:szCs w:val="28"/>
        </w:rPr>
        <w:t>校服采购售后服务承诺</w:t>
      </w:r>
    </w:p>
    <w:p w14:paraId="262A269D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供应商名称： ____________________</w:t>
      </w:r>
    </w:p>
    <w:tbl>
      <w:tblPr>
        <w:tblW w:w="85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97"/>
        <w:gridCol w:w="2830"/>
        <w:gridCol w:w="1622"/>
      </w:tblGrid>
      <w:tr w:rsidR="00DF1B47" w14:paraId="166C0C5A" w14:textId="77777777">
        <w:trPr>
          <w:tblHeader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EA56476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服务项目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51666B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具体承诺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86A994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响应时限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5E09DA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28"/>
              </w:rPr>
              <w:t>责任人</w:t>
            </w:r>
          </w:p>
        </w:tc>
      </w:tr>
      <w:tr w:rsidR="00DF1B47" w14:paraId="61BB5242" w14:textId="77777777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BFEF490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调换服务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9514E" w14:textId="77777777" w:rsidR="00DF1B47" w:rsidRDefault="00DF1B4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55C646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5个工作日内到校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DFCC63D" w14:textId="77777777" w:rsidR="00DF1B47" w:rsidRDefault="00DF1B4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DF1B47" w14:paraId="2150BCCE" w14:textId="77777777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5B1144D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修补服务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D13BE3" w14:textId="77777777" w:rsidR="00DF1B47" w:rsidRDefault="00DF1B4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ED6FD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5个工作日内到校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CB76AD7" w14:textId="77777777" w:rsidR="00DF1B47" w:rsidRDefault="00DF1B4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DF1B47" w14:paraId="78B846A8" w14:textId="77777777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688C5A8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增购服务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515598" w14:textId="77777777" w:rsidR="00DF1B47" w:rsidRDefault="00DF1B4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22A70C" w14:textId="77777777" w:rsidR="00DF1B47" w:rsidRDefault="002151B3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5个工作日内到校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224D57C" w14:textId="77777777" w:rsidR="00DF1B47" w:rsidRDefault="00DF1B47">
            <w:pPr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</w:tbl>
    <w:p w14:paraId="1CF1D242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质量保障承诺：我方承诺对因产品质量问题（包括但不限于脱线、拉链损坏、严重掉色等）提供 至少1年 免费维修服务。</w:t>
      </w:r>
    </w:p>
    <w:p w14:paraId="7217511E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增购保障承诺：承诺增购产品单价不高于合同价。</w:t>
      </w:r>
    </w:p>
    <w:p w14:paraId="4276839E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承诺方（公章）： ____________________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>法定代表人（签字）： ____________________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/>
        <w:t>日期： ______年______月______日</w:t>
      </w:r>
    </w:p>
    <w:p w14:paraId="13551D13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55B7BA57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AE26D8F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6BC645A0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76DF4293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29CCB15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274FF227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85EE4C2" w14:textId="77777777" w:rsidR="00DF1B47" w:rsidRDefault="002151B3">
      <w:pP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lastRenderedPageBreak/>
        <w:t>附件4：择优筛选公正与保密承诺书</w:t>
      </w:r>
    </w:p>
    <w:p w14:paraId="606DB584" w14:textId="77777777" w:rsidR="00DF1B47" w:rsidRDefault="002151B3">
      <w:pPr>
        <w:ind w:firstLineChars="800" w:firstLine="22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择优筛选公正与保密承诺书</w:t>
      </w:r>
    </w:p>
    <w:p w14:paraId="14DE210A" w14:textId="77777777" w:rsidR="00DF1B47" w:rsidRDefault="002151B3">
      <w:pPr>
        <w:ind w:firstLineChars="300" w:firstLine="8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本人作为本次校服供应商择优筛选评分小组成员，郑重承诺：</w:t>
      </w:r>
    </w:p>
    <w:p w14:paraId="7991FD8D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职能独立：本次评分与资格审查环节无关，仅依据补充材料及评分标准独立打分。</w:t>
      </w:r>
    </w:p>
    <w:p w14:paraId="37BAA194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公正评分：对所有供应商一视同仁，不受任何单位或个人干预。</w:t>
      </w:r>
    </w:p>
    <w:p w14:paraId="10DCD99E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利益回避：与参与本次遴选的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供应商无任何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利害关系，如有将主动回避。</w:t>
      </w:r>
    </w:p>
    <w:p w14:paraId="762BA40C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严格保密：对评分过程、评分结果及供应商商业信息严格保密。</w:t>
      </w:r>
    </w:p>
    <w:p w14:paraId="099DAB2D" w14:textId="77777777" w:rsidR="00DF1B47" w:rsidRDefault="002151B3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接受监督：如有违反，愿接受组织处理。</w:t>
      </w:r>
    </w:p>
    <w:p w14:paraId="19649601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承诺人签名：________________</w:t>
      </w:r>
    </w:p>
    <w:p w14:paraId="156643EC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2D186A3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日期：______年______月______日</w:t>
      </w:r>
    </w:p>
    <w:p w14:paraId="1CA165C1" w14:textId="77777777" w:rsidR="00DF1B47" w:rsidRDefault="00DF1B47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70456A18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使用说明</w:t>
      </w:r>
    </w:p>
    <w:p w14:paraId="5DED0C51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1.本补充说明应在采购公告中一并发布，作为公告的组成部分。</w:t>
      </w:r>
    </w:p>
    <w:p w14:paraId="26CBB6CD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2.评分仅用于合格供应商 超过5家 时的择优筛选，不替代现场评审环节的民主投票。</w:t>
      </w:r>
    </w:p>
    <w:p w14:paraId="3C99BBB3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3.评分过程资料须与资格审查材料一并归档，保存不少于3年。</w:t>
      </w:r>
    </w:p>
    <w:p w14:paraId="49503942" w14:textId="77777777" w:rsidR="00DF1B47" w:rsidRDefault="002151B3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4.质疑、问询解答由学校校服选用组织负责。</w:t>
      </w:r>
    </w:p>
    <w:p w14:paraId="78930E46" w14:textId="757C2C54" w:rsidR="00DF1B47" w:rsidRPr="002151B3" w:rsidRDefault="002151B3" w:rsidP="002151B3">
      <w:pPr>
        <w:ind w:leftChars="1872" w:left="3931"/>
        <w:rPr>
          <w:rFonts w:asciiTheme="majorEastAsia" w:eastAsiaTheme="majorEastAsia" w:hAnsiTheme="majorEastAsia" w:cs="方正仿宋_GB2312" w:hint="eastAsia"/>
          <w:sz w:val="28"/>
          <w:szCs w:val="28"/>
        </w:rPr>
      </w:pPr>
      <w:r w:rsidRPr="002151B3">
        <w:rPr>
          <w:rFonts w:asciiTheme="majorEastAsia" w:eastAsiaTheme="majorEastAsia" w:hAnsiTheme="majorEastAsia" w:cs="宋体" w:hint="eastAsia"/>
          <w:sz w:val="28"/>
          <w:szCs w:val="28"/>
        </w:rPr>
        <w:t>武汉市洪山高级中学</w:t>
      </w:r>
      <w:r w:rsidRPr="002151B3">
        <w:rPr>
          <w:rFonts w:asciiTheme="majorEastAsia" w:eastAsiaTheme="majorEastAsia" w:hAnsiTheme="majorEastAsia" w:cs="方正仿宋_GB2312" w:hint="eastAsia"/>
          <w:sz w:val="28"/>
          <w:szCs w:val="28"/>
        </w:rPr>
        <w:t>校服选用组织</w:t>
      </w:r>
    </w:p>
    <w:p w14:paraId="75F9B7B3" w14:textId="2E2A392D" w:rsidR="00DF1B47" w:rsidRDefault="00E67487" w:rsidP="002151B3">
      <w:pPr>
        <w:ind w:leftChars="2660" w:left="6426" w:hangingChars="300" w:hanging="84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2026</w:t>
      </w:r>
      <w:r w:rsidR="002151B3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年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5</w:t>
      </w:r>
      <w:r w:rsidR="002151B3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月 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20</w:t>
      </w:r>
      <w:r w:rsidR="002151B3">
        <w:rPr>
          <w:rFonts w:ascii="方正仿宋_GB2312" w:eastAsia="方正仿宋_GB2312" w:hAnsi="方正仿宋_GB2312" w:cs="方正仿宋_GB2312" w:hint="eastAsia"/>
          <w:sz w:val="28"/>
          <w:szCs w:val="28"/>
        </w:rPr>
        <w:t>日</w:t>
      </w:r>
    </w:p>
    <w:sectPr w:rsidR="00DF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A68DACB-B767-432A-B915-31026679E585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82BA9208-FEE7-4773-9800-9431E3A9C80D}"/>
    <w:embedBold r:id="rId3" w:subsetted="1" w:fontKey="{6C20AF27-0832-4D0B-8D68-33226DDDEC9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997E"/>
    <w:multiLevelType w:val="singleLevel"/>
    <w:tmpl w:val="21C699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8687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3F02DE"/>
    <w:rsid w:val="001B062F"/>
    <w:rsid w:val="002151B3"/>
    <w:rsid w:val="003F3A55"/>
    <w:rsid w:val="004F7079"/>
    <w:rsid w:val="00521696"/>
    <w:rsid w:val="00CF5500"/>
    <w:rsid w:val="00DF1B47"/>
    <w:rsid w:val="00E67487"/>
    <w:rsid w:val="00FF6AA5"/>
    <w:rsid w:val="08452820"/>
    <w:rsid w:val="0E1919B2"/>
    <w:rsid w:val="12575356"/>
    <w:rsid w:val="13AC7923"/>
    <w:rsid w:val="15EB4733"/>
    <w:rsid w:val="1C0D4CD7"/>
    <w:rsid w:val="248C5333"/>
    <w:rsid w:val="38FD1F03"/>
    <w:rsid w:val="656767D3"/>
    <w:rsid w:val="678278F4"/>
    <w:rsid w:val="6E3C5933"/>
    <w:rsid w:val="70640EC8"/>
    <w:rsid w:val="71B32F88"/>
    <w:rsid w:val="723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79A5F"/>
  <w15:docId w15:val="{62B5B857-9F1D-4DB1-9E23-64F732D1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aae46e9c-f5b5-4a50-9be1-dce85662acaf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5410D5F</paraID>
      <start>47</start>
      <end>48</end>
      <status>modified</status>
      <modifiedWord>—</modifiedWord>
      <trackRevisions>false</trackRevisions>
    </reviewItem>
    <reviewItem>
      <errorID>3c86a663-6a94-43a3-9944-e1b0d5048393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26A44A9D</paraID>
      <start>6</start>
      <end>8</end>
      <status>modified</status>
      <modifiedWord>全过</modifiedWord>
      <trackRevisions>false</trackRevisions>
    </reviewItem>
    <reviewItem>
      <errorID>7223f877-fabf-44b3-b194-e819f3196333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4DC89CA1</paraID>
      <start>46</start>
      <end>47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8AFCB39-6BD4-47EB-8188-1276D0178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274FB-91A8-4DBA-957E-EBF4E903402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杨淼纯</dc:creator>
  <cp:lastModifiedBy>10956564@qq.com</cp:lastModifiedBy>
  <cp:revision>6</cp:revision>
  <dcterms:created xsi:type="dcterms:W3CDTF">2026-05-20T04:36:00Z</dcterms:created>
  <dcterms:modified xsi:type="dcterms:W3CDTF">2026-05-20T06:52:00Z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5F5635056C2F4FA9AB230DFA30FC4082_13</vt:lpwstr>
  </property>
  <property fmtid="{D5CDD505-2E9C-101B-9397-08002B2CF9AE}" pid="4" name="KSOTemplateDocerSaveRecord">
    <vt:lpwstr>eyJoZGlkIjoiNmZmZjc5MTE5Y2U0MjBkYmYxYmI1OWQ2MDkyZjA1ZjUiLCJ1c2VySWQiOiIzNDc2OTgwNTMifQ==</vt:lpwstr>
  </property>
</Properties>
</file>